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46" w:rsidRDefault="00724546" w:rsidP="00724546">
      <w:pPr>
        <w:pStyle w:val="Default"/>
      </w:pPr>
    </w:p>
    <w:p w:rsidR="00724546" w:rsidRDefault="00724546" w:rsidP="00724546">
      <w:pPr>
        <w:pStyle w:val="Default"/>
        <w:rPr>
          <w:sz w:val="28"/>
          <w:szCs w:val="28"/>
        </w:rPr>
      </w:pPr>
      <w:r>
        <w:t xml:space="preserve"> </w:t>
      </w:r>
      <w:r>
        <w:rPr>
          <w:b/>
          <w:bCs/>
          <w:sz w:val="28"/>
          <w:szCs w:val="28"/>
        </w:rPr>
        <w:t xml:space="preserve">Vācijas rakursi </w:t>
      </w:r>
    </w:p>
    <w:p w:rsidR="00724546" w:rsidRDefault="00724546" w:rsidP="00724546">
      <w:pPr>
        <w:pStyle w:val="Default"/>
        <w:rPr>
          <w:sz w:val="28"/>
          <w:szCs w:val="28"/>
        </w:rPr>
      </w:pPr>
      <w:r>
        <w:rPr>
          <w:sz w:val="28"/>
          <w:szCs w:val="28"/>
        </w:rPr>
        <w:t xml:space="preserve">7 dienas </w:t>
      </w:r>
    </w:p>
    <w:p w:rsidR="00724546" w:rsidRDefault="00724546" w:rsidP="00724546">
      <w:pPr>
        <w:pStyle w:val="Default"/>
        <w:rPr>
          <w:sz w:val="28"/>
          <w:szCs w:val="28"/>
        </w:rPr>
      </w:pPr>
      <w:r>
        <w:rPr>
          <w:sz w:val="28"/>
          <w:szCs w:val="28"/>
        </w:rPr>
        <w:t xml:space="preserve">15.-21.08.2017. </w:t>
      </w:r>
    </w:p>
    <w:p w:rsidR="00724546" w:rsidRDefault="00724546" w:rsidP="00724546">
      <w:pPr>
        <w:pStyle w:val="Default"/>
        <w:rPr>
          <w:sz w:val="28"/>
          <w:szCs w:val="28"/>
        </w:rPr>
      </w:pPr>
      <w:r>
        <w:rPr>
          <w:b/>
          <w:bCs/>
          <w:sz w:val="28"/>
          <w:szCs w:val="28"/>
        </w:rPr>
        <w:t xml:space="preserve">Ceļojuma cena: </w:t>
      </w:r>
    </w:p>
    <w:p w:rsidR="00724546" w:rsidRDefault="00724546" w:rsidP="00724546">
      <w:pPr>
        <w:pStyle w:val="Default"/>
        <w:rPr>
          <w:sz w:val="28"/>
          <w:szCs w:val="28"/>
        </w:rPr>
      </w:pPr>
      <w:r>
        <w:rPr>
          <w:b/>
          <w:bCs/>
          <w:sz w:val="28"/>
          <w:szCs w:val="28"/>
        </w:rPr>
        <w:t xml:space="preserve">EUR 375* </w:t>
      </w:r>
      <w:r w:rsidR="007D4D34">
        <w:rPr>
          <w:b/>
          <w:bCs/>
          <w:sz w:val="28"/>
          <w:szCs w:val="28"/>
        </w:rPr>
        <w:t>ja 44 braucēji un 430.-EUR – ja 33 braucēji.</w:t>
      </w:r>
    </w:p>
    <w:p w:rsidR="00724546" w:rsidRDefault="00724546" w:rsidP="00724546">
      <w:pPr>
        <w:pStyle w:val="Default"/>
        <w:rPr>
          <w:sz w:val="20"/>
          <w:szCs w:val="20"/>
        </w:rPr>
      </w:pPr>
      <w:r>
        <w:rPr>
          <w:b/>
          <w:bCs/>
          <w:sz w:val="20"/>
          <w:szCs w:val="20"/>
        </w:rPr>
        <w:t xml:space="preserve">1.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6:30 izbraukšana no Rīgas. Brauciens līdz naktsmītnei Polijā. Naktsmītne pie Vācijas robežas. </w:t>
      </w:r>
    </w:p>
    <w:p w:rsidR="00724546" w:rsidRDefault="00724546" w:rsidP="00724546">
      <w:pPr>
        <w:pStyle w:val="Default"/>
        <w:rPr>
          <w:sz w:val="20"/>
          <w:szCs w:val="20"/>
        </w:rPr>
      </w:pPr>
      <w:r>
        <w:rPr>
          <w:b/>
          <w:bCs/>
          <w:sz w:val="20"/>
          <w:szCs w:val="20"/>
        </w:rPr>
        <w:t xml:space="preserve">2.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Brauciens līdz Vācijai. Saksijas Šveices nacionālais parks – erozijas rezultātā, daba izveidojusi interesantus smilšakmens klinšu veidojumus. Pastaigāsim dabā, apmeklēsim slavenās Basteja klintis un tiltiņu, redzēsim iespaidīgus dabas skatus. Pēcpusdienā ierašanās Drezdenē. Īsa ekskursija pa pilsētu. Brīvajā laikā iespējams apmeklēt Cvingera pils muzejus (Porcelāna, pulksteņu, ieroču muzejs, Vecmeistaru gleznu galerija), Transporta muzeju. Naktsmītne pie Drēzdenes. </w:t>
      </w:r>
    </w:p>
    <w:p w:rsidR="00724546" w:rsidRDefault="00724546" w:rsidP="00724546">
      <w:pPr>
        <w:pStyle w:val="Default"/>
        <w:rPr>
          <w:sz w:val="20"/>
          <w:szCs w:val="20"/>
        </w:rPr>
      </w:pPr>
      <w:r>
        <w:rPr>
          <w:b/>
          <w:bCs/>
          <w:sz w:val="20"/>
          <w:szCs w:val="20"/>
        </w:rPr>
        <w:t xml:space="preserve">3.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Meisene – Eiropas porcelāna dzimtene. Saksijas karalistē 18. gs. sākumā tika atklāta Eiropas porcelāna recepte un radīta Meisenes porcelāna rūpnīca. </w:t>
      </w:r>
      <w:r>
        <w:rPr>
          <w:rFonts w:ascii="Book Antiqua" w:hAnsi="Book Antiqua" w:cs="Book Antiqua"/>
          <w:sz w:val="20"/>
          <w:szCs w:val="20"/>
        </w:rPr>
        <w:t xml:space="preserve">Pilsētas apskate un Meisenes porcelāna muzejs ar 3000 eksponātiem. Brauciens līdz Harca kalniem. </w:t>
      </w:r>
      <w:r>
        <w:rPr>
          <w:sz w:val="20"/>
          <w:szCs w:val="20"/>
        </w:rPr>
        <w:t xml:space="preserve">Kvedlinburga – brīnišķīga Harca kalnu pilsētiņa, kas jau 1994 gadā iekļauta UNESCO mantojuma sarakstā. Vēsturiskais rātsnams, vairāk kā 1400 pildrežģa ēku, Rolanda statuja – tā ir tikai daļa no vēsturiskajiem objektiem. Naktsmītne pie Goslāras. </w:t>
      </w:r>
    </w:p>
    <w:p w:rsidR="00724546" w:rsidRDefault="00724546" w:rsidP="00724546">
      <w:pPr>
        <w:pStyle w:val="Default"/>
        <w:rPr>
          <w:sz w:val="20"/>
          <w:szCs w:val="20"/>
        </w:rPr>
      </w:pPr>
      <w:r>
        <w:rPr>
          <w:b/>
          <w:bCs/>
          <w:sz w:val="20"/>
          <w:szCs w:val="20"/>
        </w:rPr>
        <w:t xml:space="preserve">4.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Vernigerode – piesaista viesus ar savu vecpilsētu un viduslaiku pili, ko mēdz dēvēt par Harca Noišvānšteinu. Vecpilsētas apskate. Pārgājiens (~3 st. turp-atpakaļ) uz Harca kalnu augstāko virsotni – Brokenu (1142 m. vjl.). Viena no J.V.Gētes “Fausta” ainām tiek izspēlēta tieši Brokena kalna virsotnē Valpurģu naktī. Alternatīva pārgājienam – dārgs brauciens uz virsotni pa šaursliežu dzelzceļu. Bad Harcburga – iecienītākā Harca kalnu kūrortpilsētiņa. Baseinu kompleksa apmeklējums. Atgriešanās naktsmītnē. </w:t>
      </w:r>
    </w:p>
    <w:p w:rsidR="00724546" w:rsidRDefault="00724546" w:rsidP="00724546">
      <w:pPr>
        <w:pStyle w:val="Default"/>
        <w:rPr>
          <w:sz w:val="20"/>
          <w:szCs w:val="20"/>
        </w:rPr>
      </w:pPr>
      <w:r>
        <w:rPr>
          <w:b/>
          <w:bCs/>
          <w:sz w:val="20"/>
          <w:szCs w:val="20"/>
        </w:rPr>
        <w:t xml:space="preserve">5.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Brauciens līdz Valsrodei Vācijā. Pie Valsrodes izvietojies putnu parks. Tas ir lielākais šāda veida parks pasaulē. 24 hektāros izvietoti kopti dārzi, ūdenstilpnes, bērnu atrakcijas un 4000 putnu no visām pasaules malām. Pēcpusdienā-Serengeti parka apmeklējums – izklaide lieliem un maziem. Safari brauciens pa brīvdabas zoodārzu divstāvu autobusā, pērtiķu pasaule, džungļu safari, tikšanās ar milzu pērtiķi ūdens safari un citas izklaides. Atgriešanās naktsmītnē. </w:t>
      </w:r>
    </w:p>
    <w:p w:rsidR="00724546" w:rsidRDefault="00724546" w:rsidP="00724546">
      <w:pPr>
        <w:pStyle w:val="Default"/>
        <w:rPr>
          <w:sz w:val="20"/>
          <w:szCs w:val="20"/>
        </w:rPr>
      </w:pPr>
      <w:r>
        <w:rPr>
          <w:b/>
          <w:bCs/>
          <w:sz w:val="20"/>
          <w:szCs w:val="20"/>
        </w:rPr>
        <w:t xml:space="preserve">6.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Atvadas no Harca kalniem. Volfenbitele – brīnišķīga mazpilsēta ar pildrežģu ēkām, iespaidīgu baroka pili, savu “mazo Venēciju”. Pilsētiņa nav zaudējusi savu senlaiku auru, jo 2. pasaules karš šai pilsētiņai gāja secen. Volfenbitelē radies iespējams populārākais mūsdienu vācu alkoholiskais dzēriens - Jāgermeiters. Te atrodas Jāgermeistera rūpnīca. Pirms došanās mājup, izbaudīsim šo slaveno vācu dzērienu. Brauciens līdz Polijai. Nakts viesnīcā Polijā. </w:t>
      </w:r>
    </w:p>
    <w:p w:rsidR="00724546" w:rsidRDefault="00724546" w:rsidP="00724546">
      <w:pPr>
        <w:pStyle w:val="Default"/>
        <w:rPr>
          <w:sz w:val="20"/>
          <w:szCs w:val="20"/>
        </w:rPr>
      </w:pPr>
      <w:r>
        <w:rPr>
          <w:b/>
          <w:bCs/>
          <w:sz w:val="20"/>
          <w:szCs w:val="20"/>
        </w:rPr>
        <w:t xml:space="preserve">7. diena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t xml:space="preserve">Agri no rīta izbraukšana mājup. Brauciens caur Poliju, Lietuvu. Atgriešanās Rīgā ap 24:00. </w:t>
      </w:r>
    </w:p>
    <w:p w:rsidR="00724546" w:rsidRDefault="00724546" w:rsidP="00724546">
      <w:pPr>
        <w:pStyle w:val="Default"/>
        <w:rPr>
          <w:sz w:val="20"/>
          <w:szCs w:val="20"/>
        </w:rPr>
      </w:pPr>
      <w:r>
        <w:rPr>
          <w:b/>
          <w:bCs/>
          <w:sz w:val="20"/>
          <w:szCs w:val="20"/>
        </w:rPr>
        <w:t xml:space="preserve">Cenā ietilpst: </w:t>
      </w:r>
    </w:p>
    <w:p w:rsidR="00724546" w:rsidRDefault="00724546" w:rsidP="00724546">
      <w:pPr>
        <w:pStyle w:val="Default"/>
        <w:spacing w:after="33"/>
        <w:rPr>
          <w:sz w:val="20"/>
          <w:szCs w:val="20"/>
        </w:rPr>
      </w:pPr>
      <w:r>
        <w:rPr>
          <w:sz w:val="20"/>
          <w:szCs w:val="20"/>
        </w:rPr>
        <w:t xml:space="preserve"> autotransporta īre (tūrisma klases autobuss (WC, DVD, AC)) un citi ar transportu saistīti izdevumi, </w:t>
      </w:r>
    </w:p>
    <w:p w:rsidR="00724546" w:rsidRDefault="00724546" w:rsidP="00724546">
      <w:pPr>
        <w:pStyle w:val="Default"/>
        <w:spacing w:after="33"/>
        <w:rPr>
          <w:sz w:val="20"/>
          <w:szCs w:val="20"/>
        </w:rPr>
      </w:pPr>
      <w:r>
        <w:rPr>
          <w:sz w:val="20"/>
          <w:szCs w:val="20"/>
        </w:rPr>
        <w:t xml:space="preserve"> gids-grupas vadītājs, </w:t>
      </w:r>
    </w:p>
    <w:p w:rsidR="00724546" w:rsidRDefault="00724546" w:rsidP="00724546">
      <w:pPr>
        <w:pStyle w:val="Default"/>
        <w:spacing w:after="33"/>
        <w:rPr>
          <w:sz w:val="20"/>
          <w:szCs w:val="20"/>
        </w:rPr>
      </w:pPr>
      <w:r>
        <w:rPr>
          <w:sz w:val="20"/>
          <w:szCs w:val="20"/>
        </w:rPr>
        <w:t xml:space="preserve"> 6 naktis viesnīcās Polijā un Vācijā (2-3-vietīgas istabas ar labierīcībām), brokastis, </w:t>
      </w:r>
    </w:p>
    <w:p w:rsidR="00724546" w:rsidRDefault="00724546" w:rsidP="00724546">
      <w:pPr>
        <w:pStyle w:val="Default"/>
        <w:rPr>
          <w:sz w:val="20"/>
          <w:szCs w:val="20"/>
        </w:rPr>
      </w:pPr>
      <w:r>
        <w:rPr>
          <w:sz w:val="20"/>
          <w:szCs w:val="20"/>
        </w:rPr>
        <w:t xml:space="preserve"> veselības apdrošināšana. </w:t>
      </w:r>
    </w:p>
    <w:p w:rsidR="00724546" w:rsidRDefault="00724546" w:rsidP="00724546">
      <w:pPr>
        <w:pStyle w:val="Default"/>
        <w:rPr>
          <w:sz w:val="20"/>
          <w:szCs w:val="20"/>
        </w:rPr>
      </w:pPr>
    </w:p>
    <w:p w:rsidR="00724546" w:rsidRDefault="00724546" w:rsidP="00724546">
      <w:pPr>
        <w:pStyle w:val="Default"/>
        <w:rPr>
          <w:sz w:val="20"/>
          <w:szCs w:val="20"/>
        </w:rPr>
      </w:pPr>
      <w:r>
        <w:rPr>
          <w:b/>
          <w:bCs/>
          <w:sz w:val="20"/>
          <w:szCs w:val="20"/>
        </w:rPr>
        <w:t xml:space="preserve">Papildizdevumi: </w:t>
      </w:r>
    </w:p>
    <w:p w:rsidR="00724546" w:rsidRDefault="00724546" w:rsidP="00724546">
      <w:pPr>
        <w:pStyle w:val="Default"/>
        <w:rPr>
          <w:sz w:val="20"/>
          <w:szCs w:val="20"/>
        </w:rPr>
      </w:pPr>
      <w:r>
        <w:rPr>
          <w:sz w:val="20"/>
          <w:szCs w:val="20"/>
        </w:rPr>
        <w:t xml:space="preserve"> ieejas maksa apskates vietās </w:t>
      </w:r>
    </w:p>
    <w:p w:rsidR="00724546" w:rsidRDefault="00724546" w:rsidP="00724546">
      <w:pPr>
        <w:pStyle w:val="Default"/>
        <w:rPr>
          <w:sz w:val="20"/>
          <w:szCs w:val="20"/>
        </w:rPr>
      </w:pPr>
    </w:p>
    <w:p w:rsidR="00724546" w:rsidRDefault="00724546" w:rsidP="00724546">
      <w:pPr>
        <w:pStyle w:val="Default"/>
        <w:rPr>
          <w:sz w:val="20"/>
          <w:szCs w:val="20"/>
        </w:rPr>
      </w:pPr>
      <w:r>
        <w:rPr>
          <w:sz w:val="20"/>
          <w:szCs w:val="20"/>
        </w:rPr>
        <w:lastRenderedPageBreak/>
        <w:t xml:space="preserve">*33 cilvēku grupai cena 430 EUR </w:t>
      </w:r>
    </w:p>
    <w:p w:rsidR="00724546" w:rsidRDefault="00724546" w:rsidP="00724546">
      <w:pPr>
        <w:pStyle w:val="Default"/>
        <w:pageBreakBefore/>
        <w:rPr>
          <w:sz w:val="18"/>
          <w:szCs w:val="18"/>
        </w:rPr>
      </w:pPr>
      <w:r>
        <w:rPr>
          <w:sz w:val="18"/>
          <w:szCs w:val="18"/>
        </w:rPr>
        <w:t xml:space="preserve">tel. 29563697 </w:t>
      </w:r>
    </w:p>
    <w:p w:rsidR="00724546" w:rsidRDefault="00724546" w:rsidP="00724546">
      <w:pPr>
        <w:pStyle w:val="Default"/>
        <w:rPr>
          <w:sz w:val="18"/>
          <w:szCs w:val="18"/>
        </w:rPr>
      </w:pPr>
      <w:r>
        <w:rPr>
          <w:sz w:val="18"/>
          <w:szCs w:val="18"/>
        </w:rPr>
        <w:t xml:space="preserve">info@baldonescelotajs.lv </w:t>
      </w:r>
    </w:p>
    <w:p w:rsidR="00E46DA0" w:rsidRDefault="00594222" w:rsidP="00724546">
      <w:pPr>
        <w:rPr>
          <w:sz w:val="18"/>
          <w:szCs w:val="18"/>
        </w:rPr>
      </w:pPr>
      <w:hyperlink r:id="rId5" w:history="1">
        <w:r w:rsidR="00AA6A50" w:rsidRPr="00EA159A">
          <w:rPr>
            <w:rStyle w:val="Hipersaite"/>
            <w:sz w:val="18"/>
            <w:szCs w:val="18"/>
          </w:rPr>
          <w:t>www.baldonescelotajs.lv</w:t>
        </w:r>
      </w:hyperlink>
    </w:p>
    <w:p w:rsidR="00AA6A50" w:rsidRPr="00C33CC7" w:rsidRDefault="00AA6A50" w:rsidP="00724546">
      <w:pPr>
        <w:rPr>
          <w:sz w:val="28"/>
          <w:szCs w:val="28"/>
        </w:rPr>
      </w:pPr>
      <w:r w:rsidRPr="00C33CC7">
        <w:rPr>
          <w:sz w:val="28"/>
          <w:szCs w:val="28"/>
        </w:rPr>
        <w:t>Papildizdevumi</w:t>
      </w:r>
      <w:r w:rsidR="00C33CC7">
        <w:rPr>
          <w:sz w:val="28"/>
          <w:szCs w:val="28"/>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597"/>
        <w:gridCol w:w="1498"/>
        <w:gridCol w:w="1560"/>
      </w:tblGrid>
      <w:tr w:rsidR="00AA6A50" w:rsidRPr="00A73782" w:rsidTr="00594222">
        <w:tc>
          <w:tcPr>
            <w:tcW w:w="1271" w:type="dxa"/>
            <w:hideMark/>
          </w:tcPr>
          <w:p w:rsidR="00AA6A50" w:rsidRPr="00A73782" w:rsidRDefault="00AA6A50" w:rsidP="00DD518A">
            <w:pPr>
              <w:spacing w:after="0" w:line="256" w:lineRule="auto"/>
              <w:jc w:val="center"/>
              <w:rPr>
                <w:rFonts w:ascii="Book Antiqua" w:hAnsi="Book Antiqua"/>
                <w:color w:val="000000"/>
                <w:szCs w:val="24"/>
              </w:rPr>
            </w:pPr>
            <w:r w:rsidRPr="00A73782">
              <w:rPr>
                <w:rFonts w:ascii="Book Antiqua" w:hAnsi="Book Antiqua"/>
                <w:color w:val="000000"/>
                <w:szCs w:val="24"/>
              </w:rPr>
              <w:t>Valsts</w:t>
            </w:r>
          </w:p>
        </w:tc>
        <w:tc>
          <w:tcPr>
            <w:tcW w:w="4597" w:type="dxa"/>
            <w:hideMark/>
          </w:tcPr>
          <w:p w:rsidR="00AA6A50" w:rsidRPr="00A73782" w:rsidRDefault="00AA6A50" w:rsidP="00DD518A">
            <w:pPr>
              <w:spacing w:after="0" w:line="256" w:lineRule="auto"/>
              <w:jc w:val="center"/>
              <w:rPr>
                <w:rFonts w:ascii="Book Antiqua" w:hAnsi="Book Antiqua"/>
                <w:color w:val="000000"/>
                <w:szCs w:val="24"/>
              </w:rPr>
            </w:pPr>
            <w:r w:rsidRPr="00A73782">
              <w:rPr>
                <w:rFonts w:ascii="Book Antiqua" w:hAnsi="Book Antiqua"/>
                <w:color w:val="000000"/>
                <w:szCs w:val="24"/>
              </w:rPr>
              <w:t>Objekts</w:t>
            </w:r>
          </w:p>
        </w:tc>
        <w:tc>
          <w:tcPr>
            <w:tcW w:w="1498" w:type="dxa"/>
            <w:hideMark/>
          </w:tcPr>
          <w:p w:rsidR="00AA6A50" w:rsidRPr="00A73782" w:rsidRDefault="00AA6A50" w:rsidP="00DD518A">
            <w:pPr>
              <w:spacing w:after="0" w:line="256" w:lineRule="auto"/>
              <w:jc w:val="center"/>
              <w:rPr>
                <w:rFonts w:ascii="Book Antiqua" w:hAnsi="Book Antiqua"/>
                <w:color w:val="000000"/>
                <w:szCs w:val="24"/>
              </w:rPr>
            </w:pPr>
            <w:r>
              <w:rPr>
                <w:rFonts w:ascii="Book Antiqua" w:hAnsi="Book Antiqua"/>
                <w:color w:val="000000"/>
                <w:szCs w:val="24"/>
              </w:rPr>
              <w:t xml:space="preserve">Pieaugušajiem </w:t>
            </w:r>
            <w:r w:rsidRPr="00A73782">
              <w:rPr>
                <w:rFonts w:ascii="Book Antiqua" w:hAnsi="Book Antiqua"/>
                <w:color w:val="000000"/>
                <w:szCs w:val="24"/>
              </w:rPr>
              <w:t>EUR</w:t>
            </w:r>
          </w:p>
        </w:tc>
        <w:tc>
          <w:tcPr>
            <w:tcW w:w="1560" w:type="dxa"/>
          </w:tcPr>
          <w:p w:rsidR="00AA6A50" w:rsidRPr="00A73782" w:rsidRDefault="00AA6A50" w:rsidP="00DD518A">
            <w:pPr>
              <w:spacing w:after="0" w:line="256" w:lineRule="auto"/>
              <w:jc w:val="center"/>
              <w:rPr>
                <w:rFonts w:ascii="Book Antiqua" w:hAnsi="Book Antiqua"/>
                <w:color w:val="000000"/>
                <w:szCs w:val="24"/>
              </w:rPr>
            </w:pPr>
            <w:r>
              <w:rPr>
                <w:rFonts w:ascii="Book Antiqua" w:hAnsi="Book Antiqua"/>
                <w:color w:val="000000"/>
                <w:szCs w:val="24"/>
              </w:rPr>
              <w:t>Bērniem</w:t>
            </w:r>
          </w:p>
        </w:tc>
      </w:tr>
      <w:tr w:rsidR="00AA6A50" w:rsidRPr="00A73782" w:rsidTr="00594222">
        <w:tc>
          <w:tcPr>
            <w:tcW w:w="1271" w:type="dxa"/>
            <w:hideMark/>
          </w:tcPr>
          <w:p w:rsidR="00AA6A50" w:rsidRPr="00A73782" w:rsidRDefault="00AA6A50" w:rsidP="00DD518A">
            <w:pPr>
              <w:spacing w:after="0" w:line="256" w:lineRule="auto"/>
              <w:rPr>
                <w:rFonts w:ascii="Arabesque Baltic" w:hAnsi="Arabesque Baltic"/>
                <w:b/>
                <w:color w:val="000000"/>
                <w:sz w:val="18"/>
                <w:szCs w:val="24"/>
              </w:rPr>
            </w:pPr>
            <w:r>
              <w:rPr>
                <w:rFonts w:ascii="Arabesque Baltic" w:hAnsi="Arabesque Baltic"/>
                <w:b/>
                <w:color w:val="000000"/>
                <w:sz w:val="18"/>
                <w:szCs w:val="24"/>
              </w:rPr>
              <w:t>Drēzdene</w:t>
            </w:r>
          </w:p>
        </w:tc>
        <w:tc>
          <w:tcPr>
            <w:tcW w:w="4597" w:type="dxa"/>
            <w:hideMark/>
          </w:tcPr>
          <w:p w:rsidR="00AA6A50" w:rsidRPr="00A73782"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3 Cvingera muzeji (kompleksā biļete)</w:t>
            </w:r>
          </w:p>
        </w:tc>
        <w:tc>
          <w:tcPr>
            <w:tcW w:w="1498" w:type="dxa"/>
            <w:hideMark/>
          </w:tcPr>
          <w:p w:rsidR="00AA6A50" w:rsidRPr="00A73782"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10</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7.5 (līdz 17 g. bezmaksas)</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p>
        </w:tc>
        <w:tc>
          <w:tcPr>
            <w:tcW w:w="4597" w:type="dxa"/>
            <w:hideMark/>
          </w:tcPr>
          <w:p w:rsidR="00AA6A50" w:rsidRPr="00A73782"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Drēzdenes transporta muzejs</w:t>
            </w:r>
          </w:p>
        </w:tc>
        <w:tc>
          <w:tcPr>
            <w:tcW w:w="1498" w:type="dxa"/>
            <w:hideMark/>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7.5</w:t>
            </w:r>
          </w:p>
          <w:p w:rsidR="00AA6A50" w:rsidRPr="00A73782" w:rsidRDefault="00AA6A50" w:rsidP="00DD518A">
            <w:pPr>
              <w:spacing w:after="0" w:line="256" w:lineRule="auto"/>
              <w:jc w:val="center"/>
              <w:rPr>
                <w:rFonts w:ascii="Book Antiqua" w:hAnsi="Book Antiqua"/>
                <w:b/>
                <w:color w:val="000000"/>
                <w:sz w:val="18"/>
                <w:szCs w:val="24"/>
              </w:rPr>
            </w:pP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3.5 (līdz 18 g.)</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r>
              <w:rPr>
                <w:rFonts w:ascii="Arabesque Baltic" w:hAnsi="Arabesque Baltic"/>
                <w:b/>
                <w:color w:val="000000"/>
                <w:sz w:val="18"/>
                <w:szCs w:val="24"/>
              </w:rPr>
              <w:t>Meisene</w:t>
            </w:r>
          </w:p>
        </w:tc>
        <w:tc>
          <w:tcPr>
            <w:tcW w:w="4597" w:type="dxa"/>
            <w:hideMark/>
          </w:tcPr>
          <w:p w:rsidR="00AA6A50" w:rsidRPr="00A73782"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Porcelāna darbnīca un muzejs un</w:t>
            </w:r>
          </w:p>
        </w:tc>
        <w:tc>
          <w:tcPr>
            <w:tcW w:w="1498" w:type="dxa"/>
            <w:hideMark/>
          </w:tcPr>
          <w:p w:rsidR="00AA6A50" w:rsidRPr="00A73782"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9</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5 (līdz 18 g.)</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p>
        </w:tc>
        <w:tc>
          <w:tcPr>
            <w:tcW w:w="4597" w:type="dxa"/>
            <w:hideMark/>
          </w:tcPr>
          <w:p w:rsidR="00AA6A50" w:rsidRPr="00A73782"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Kompleksā biļete (Porcelāna muz. un Albrehta pils)</w:t>
            </w:r>
          </w:p>
        </w:tc>
        <w:tc>
          <w:tcPr>
            <w:tcW w:w="1498" w:type="dxa"/>
            <w:hideMark/>
          </w:tcPr>
          <w:p w:rsidR="00AA6A50" w:rsidRPr="00A73782"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14</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7 (Līdz 18 g.)</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r>
              <w:rPr>
                <w:rFonts w:ascii="Arabesque Baltic" w:hAnsi="Arabesque Baltic"/>
                <w:b/>
                <w:color w:val="000000"/>
                <w:sz w:val="18"/>
                <w:szCs w:val="24"/>
              </w:rPr>
              <w:t>Harca kalni</w:t>
            </w:r>
          </w:p>
        </w:tc>
        <w:tc>
          <w:tcPr>
            <w:tcW w:w="4597" w:type="dxa"/>
            <w:hideMark/>
          </w:tcPr>
          <w:p w:rsidR="00AA6A50" w:rsidRPr="00A73782"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Šaursliežu vilciens uz Braokena virsotni (turp-atpakaļ)</w:t>
            </w:r>
          </w:p>
        </w:tc>
        <w:tc>
          <w:tcPr>
            <w:tcW w:w="1498" w:type="dxa"/>
            <w:hideMark/>
          </w:tcPr>
          <w:p w:rsidR="00AA6A50" w:rsidRPr="00A73782"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39</w:t>
            </w:r>
          </w:p>
        </w:tc>
        <w:tc>
          <w:tcPr>
            <w:tcW w:w="1560" w:type="dxa"/>
          </w:tcPr>
          <w:p w:rsidR="00AA6A50" w:rsidRPr="00A73782"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19.5 (līdz 11 g.)</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p>
        </w:tc>
        <w:tc>
          <w:tcPr>
            <w:tcW w:w="4597" w:type="dxa"/>
          </w:tcPr>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Bad Harcburgas termālie baseini 2,5 stundas</w:t>
            </w:r>
          </w:p>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Tikai baseini</w:t>
            </w:r>
          </w:p>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 xml:space="preserve">Baseini un pirtis/pēc plk. 18.00 </w:t>
            </w:r>
          </w:p>
        </w:tc>
        <w:tc>
          <w:tcPr>
            <w:tcW w:w="1498" w:type="dxa"/>
          </w:tcPr>
          <w:p w:rsidR="00AA6A50" w:rsidRDefault="00AA6A50" w:rsidP="00DD518A">
            <w:pPr>
              <w:spacing w:after="0" w:line="256" w:lineRule="auto"/>
              <w:jc w:val="center"/>
              <w:rPr>
                <w:rFonts w:ascii="Book Antiqua" w:hAnsi="Book Antiqua"/>
                <w:b/>
                <w:color w:val="000000"/>
                <w:sz w:val="18"/>
                <w:szCs w:val="24"/>
              </w:rPr>
            </w:pPr>
          </w:p>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8</w:t>
            </w:r>
          </w:p>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13 / 10</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līdz 12 g.</w:t>
            </w:r>
          </w:p>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5.5</w:t>
            </w:r>
          </w:p>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8.5</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r>
              <w:rPr>
                <w:rFonts w:ascii="Arabesque Baltic" w:hAnsi="Arabesque Baltic"/>
                <w:b/>
                <w:color w:val="000000"/>
                <w:sz w:val="18"/>
                <w:szCs w:val="24"/>
              </w:rPr>
              <w:t>Valsrode</w:t>
            </w:r>
          </w:p>
        </w:tc>
        <w:tc>
          <w:tcPr>
            <w:tcW w:w="4597" w:type="dxa"/>
          </w:tcPr>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Putnu parks</w:t>
            </w:r>
          </w:p>
        </w:tc>
        <w:tc>
          <w:tcPr>
            <w:tcW w:w="1498"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17 (grupā 20 &lt;)</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13 (līdz 12g.)</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p>
        </w:tc>
        <w:tc>
          <w:tcPr>
            <w:tcW w:w="4597" w:type="dxa"/>
          </w:tcPr>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Serengeti parks</w:t>
            </w:r>
          </w:p>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10 km brauciens ar divstāvu autobusu caur dzīvnieku aplokiem</w:t>
            </w:r>
          </w:p>
        </w:tc>
        <w:tc>
          <w:tcPr>
            <w:tcW w:w="1498"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21 (grupā 20&lt;)</w:t>
            </w:r>
          </w:p>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5.5</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15 (līdz 12g.)</w:t>
            </w:r>
          </w:p>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5.5</w:t>
            </w:r>
          </w:p>
        </w:tc>
      </w:tr>
      <w:tr w:rsidR="00AA6A50" w:rsidRPr="00A73782" w:rsidTr="00594222">
        <w:tc>
          <w:tcPr>
            <w:tcW w:w="1271" w:type="dxa"/>
          </w:tcPr>
          <w:p w:rsidR="00AA6A50" w:rsidRPr="00A73782" w:rsidRDefault="00AA6A50" w:rsidP="00DD518A">
            <w:pPr>
              <w:spacing w:after="0" w:line="256" w:lineRule="auto"/>
              <w:rPr>
                <w:rFonts w:ascii="Arabesque Baltic" w:hAnsi="Arabesque Baltic"/>
                <w:b/>
                <w:color w:val="000000"/>
                <w:sz w:val="18"/>
                <w:szCs w:val="24"/>
              </w:rPr>
            </w:pPr>
          </w:p>
        </w:tc>
        <w:tc>
          <w:tcPr>
            <w:tcW w:w="4597" w:type="dxa"/>
          </w:tcPr>
          <w:p w:rsidR="00AA6A50" w:rsidRDefault="00AA6A50" w:rsidP="00DD518A">
            <w:pPr>
              <w:spacing w:after="0" w:line="256" w:lineRule="auto"/>
              <w:rPr>
                <w:rFonts w:ascii="Book Antiqua" w:hAnsi="Book Antiqua"/>
                <w:b/>
                <w:color w:val="000000"/>
                <w:sz w:val="18"/>
                <w:szCs w:val="24"/>
              </w:rPr>
            </w:pPr>
            <w:r>
              <w:rPr>
                <w:rFonts w:ascii="Book Antiqua" w:hAnsi="Book Antiqua"/>
                <w:b/>
                <w:color w:val="000000"/>
                <w:sz w:val="18"/>
                <w:szCs w:val="24"/>
              </w:rPr>
              <w:t>Ekskursija Jagermeiter rūpnīcā</w:t>
            </w:r>
          </w:p>
        </w:tc>
        <w:tc>
          <w:tcPr>
            <w:tcW w:w="1498"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10</w:t>
            </w:r>
          </w:p>
        </w:tc>
        <w:tc>
          <w:tcPr>
            <w:tcW w:w="1560" w:type="dxa"/>
          </w:tcPr>
          <w:p w:rsidR="00AA6A50" w:rsidRDefault="00AA6A50" w:rsidP="00DD518A">
            <w:pPr>
              <w:spacing w:after="0" w:line="256" w:lineRule="auto"/>
              <w:jc w:val="center"/>
              <w:rPr>
                <w:rFonts w:ascii="Book Antiqua" w:hAnsi="Book Antiqua"/>
                <w:b/>
                <w:color w:val="000000"/>
                <w:sz w:val="18"/>
                <w:szCs w:val="24"/>
              </w:rPr>
            </w:pPr>
            <w:r>
              <w:rPr>
                <w:rFonts w:ascii="Book Antiqua" w:hAnsi="Book Antiqua"/>
                <w:b/>
                <w:color w:val="000000"/>
                <w:sz w:val="18"/>
                <w:szCs w:val="24"/>
              </w:rPr>
              <w:t>???</w:t>
            </w:r>
          </w:p>
        </w:tc>
      </w:tr>
    </w:tbl>
    <w:p w:rsidR="00AA6A50" w:rsidRDefault="00AA6A50" w:rsidP="00724546">
      <w:bookmarkStart w:id="0" w:name="_GoBack"/>
      <w:bookmarkEnd w:id="0"/>
    </w:p>
    <w:sectPr w:rsidR="00AA6A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Book Antiqua">
    <w:altName w:val="Book Antiqua"/>
    <w:panose1 w:val="02040602050305030304"/>
    <w:charset w:val="BA"/>
    <w:family w:val="roman"/>
    <w:pitch w:val="variable"/>
    <w:sig w:usb0="00000287" w:usb1="00000000" w:usb2="00000000" w:usb3="00000000" w:csb0="0000009F" w:csb1="00000000"/>
  </w:font>
  <w:font w:name="Arabesque Balt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46"/>
    <w:rsid w:val="00594222"/>
    <w:rsid w:val="00724546"/>
    <w:rsid w:val="007D4D34"/>
    <w:rsid w:val="00AA6A50"/>
    <w:rsid w:val="00C33CC7"/>
    <w:rsid w:val="00E46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2454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AA6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2454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AA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donescelotaj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2528</Words>
  <Characters>1442</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LFA</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Paegļkalne</dc:creator>
  <cp:lastModifiedBy>Brigita Paegļkalne</cp:lastModifiedBy>
  <cp:revision>6</cp:revision>
  <dcterms:created xsi:type="dcterms:W3CDTF">2017-01-16T12:02:00Z</dcterms:created>
  <dcterms:modified xsi:type="dcterms:W3CDTF">2017-03-28T07:41:00Z</dcterms:modified>
</cp:coreProperties>
</file>